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9F7" w:rsidRPr="002F6A28" w:rsidRDefault="00C20D9E" w:rsidP="002F6A28">
      <w:pPr>
        <w:pStyle w:val="Title"/>
        <w:rPr>
          <w:caps w:val="0"/>
          <w:kern w:val="0"/>
        </w:rPr>
      </w:pPr>
      <w:bookmarkStart w:id="0" w:name="_GoBack"/>
      <w:bookmarkEnd w:id="0"/>
      <w:r w:rsidRPr="002F6A28">
        <w:rPr>
          <w:caps w:val="0"/>
          <w:kern w:val="0"/>
        </w:rPr>
        <w:t>NOTIFICATION</w:t>
      </w:r>
    </w:p>
    <w:p w:rsidR="009239F7" w:rsidRPr="002F6A28" w:rsidRDefault="00C20D9E" w:rsidP="002F6A28">
      <w:pPr>
        <w:jc w:val="center"/>
      </w:pPr>
      <w:r w:rsidRPr="002F6A28">
        <w:t>The following notification is being circulated in accordance with Article 10.6</w:t>
      </w:r>
    </w:p>
    <w:p w:rsidR="009239F7" w:rsidRPr="002F6A28" w:rsidRDefault="009239F7" w:rsidP="002F6A28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25"/>
        <w:gridCol w:w="8627"/>
      </w:tblGrid>
      <w:tr w:rsidR="0039637E" w:rsidTr="00DB13FE"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RDefault="00C20D9E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RDefault="00C20D9E" w:rsidP="00C805B6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="00EE3A11" w:rsidRPr="00C92678">
              <w:t xml:space="preserve"> </w:t>
            </w:r>
            <w:r w:rsidR="00EE3A11" w:rsidRPr="00C92678">
              <w:rPr>
                <w:u w:val="single"/>
              </w:rPr>
              <w:t>THE SEPARATE CUSTOMS TERRITORY OF TAIWAN, PENGHU, KINMEN AND MATSU</w:t>
            </w:r>
          </w:p>
          <w:p w:rsidR="00F85C99" w:rsidRPr="002F6A28" w:rsidRDefault="00C20D9E" w:rsidP="002F6A28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="00B5689B" w:rsidRP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="00EE3A11" w:rsidRPr="00C379C8">
              <w:t xml:space="preserve"> </w:t>
            </w:r>
          </w:p>
        </w:tc>
      </w:tr>
      <w:tr w:rsidR="0039637E" w:rsidTr="00DB13FE">
        <w:tc>
          <w:tcPr>
            <w:tcW w:w="607" w:type="dxa"/>
          </w:tcPr>
          <w:p w:rsidR="00F85C99" w:rsidRPr="002F6A28" w:rsidRDefault="00C20D9E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RDefault="00C20D9E" w:rsidP="000C3B6C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="00EE3A11" w:rsidRPr="00C379C8">
              <w:t xml:space="preserve"> </w:t>
            </w:r>
          </w:p>
          <w:p w:rsidR="00EE3A11" w:rsidRPr="00C379C8" w:rsidRDefault="00C20D9E" w:rsidP="000C3B6C">
            <w:pPr>
              <w:spacing w:after="120"/>
            </w:pPr>
            <w:r w:rsidRPr="00C379C8">
              <w:t>Ministry of Environment</w:t>
            </w:r>
          </w:p>
        </w:tc>
      </w:tr>
      <w:tr w:rsidR="0039637E" w:rsidTr="00DB13FE">
        <w:tc>
          <w:tcPr>
            <w:tcW w:w="607" w:type="dxa"/>
          </w:tcPr>
          <w:p w:rsidR="00F85C99" w:rsidRPr="002F6A28" w:rsidRDefault="00C20D9E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RDefault="00C20D9E" w:rsidP="002F6A28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:rsidR="0039637E" w:rsidTr="00DB13FE">
        <w:tc>
          <w:tcPr>
            <w:tcW w:w="607" w:type="dxa"/>
          </w:tcPr>
          <w:p w:rsidR="00F85C99" w:rsidRPr="002F6A28" w:rsidRDefault="00C20D9E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280D69" w:rsidRDefault="00C20D9E" w:rsidP="002F6A28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</w:p>
          <w:p w:rsidR="00F85C99" w:rsidRPr="002F6A28" w:rsidRDefault="00EE3A11" w:rsidP="002F6A28">
            <w:pPr>
              <w:spacing w:before="120" w:after="120"/>
            </w:pPr>
            <w:r w:rsidRPr="00C379C8">
              <w:t>(I) Switches and relays.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(II) High-pressure mercury lamps for general lighting.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(III) Self-ballasted fluorescent lamps of 30 watts or lower for general lighting.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(IV) Cold cathode fluorescent lamps and external electrode fluorescent lamps for electronic displays.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(V) Strain gauges used in plethysmographs.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(VI) Mercury vacuum pumps.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(VII) Tire balancers and wheel balance weights.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(VIII) Photographic film and photographic paper.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(IX) Propellant for satellites, spacecraft, or space vehicles.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(X) Electrical and electronic measuring instruments, such as melt pressure transducers, transmitters, and sensors.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(XI) Non-electronic measuring instruments, such as barometers, hygrometers, pressure gauges, thermometers (including body thermometers), and sphygmomanometers.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(XII) Compact fluorescent lamps for general lighting.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(XIII) Linear and nonlinear fluorescent lamps for general lighting that use halophosphate phosphors.</w:t>
            </w:r>
          </w:p>
          <w:p w:rsidR="00EE3A11" w:rsidRPr="00C379C8" w:rsidRDefault="00C20D9E" w:rsidP="002F6A28">
            <w:pPr>
              <w:spacing w:before="120" w:after="120"/>
            </w:pPr>
            <w:r w:rsidRPr="00C379C8">
              <w:t>(XIV)</w:t>
            </w:r>
            <w:r>
              <w:t xml:space="preserve"> </w:t>
            </w:r>
            <w:r w:rsidRPr="00C379C8">
              <w:t>Linear and non-linear fluorescent lamps for general lighting that use triband phosphors.</w:t>
            </w:r>
          </w:p>
        </w:tc>
      </w:tr>
      <w:tr w:rsidR="0039637E" w:rsidTr="00DB13FE">
        <w:tc>
          <w:tcPr>
            <w:tcW w:w="607" w:type="dxa"/>
          </w:tcPr>
          <w:p w:rsidR="00F85C99" w:rsidRPr="002F6A28" w:rsidRDefault="00C20D9E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RDefault="00C20D9E" w:rsidP="002F6A28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="00EE3A11" w:rsidRPr="00C379C8">
              <w:t xml:space="preserve"> Draft Amendment to the "Restrictions on the Importing of Mercury-Added Products"; (5 page(s), in English), (4 page(s), in Chinese)</w:t>
            </w:r>
          </w:p>
          <w:p w:rsidR="000C3B6C" w:rsidRPr="000C3B6C" w:rsidRDefault="00C20D9E" w:rsidP="002F6A28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42CB8" w:rsidRPr="00CE6C29" w:rsidRDefault="008F4E97" w:rsidP="002F6A28">
            <w:pPr>
              <w:pBdr>
                <w:top w:val="none" w:sz="0" w:space="4" w:color="auto"/>
              </w:pBdr>
              <w:rPr>
                <w:iCs/>
              </w:rPr>
            </w:pPr>
            <w:hyperlink r:id="rId10" w:tgtFrame="_blank" w:history="1">
              <w:r w:rsidR="00C20D9E" w:rsidRPr="00CE6C29">
                <w:rPr>
                  <w:iCs/>
                  <w:color w:val="0000FF"/>
                  <w:u w:val="single"/>
                </w:rPr>
                <w:t>https://members.wto.org/crnattachments/2026/TBT/TPKM/26_01585_00_x.pdf</w:t>
              </w:r>
            </w:hyperlink>
          </w:p>
          <w:p w:rsidR="00842CB8" w:rsidRPr="00CE6C29" w:rsidRDefault="008F4E97" w:rsidP="002F6A28">
            <w:pPr>
              <w:pBdr>
                <w:bottom w:val="none" w:sz="0" w:space="4" w:color="auto"/>
              </w:pBdr>
              <w:rPr>
                <w:iCs/>
              </w:rPr>
            </w:pPr>
            <w:hyperlink r:id="rId11" w:tgtFrame="_blank" w:history="1">
              <w:r w:rsidR="00C20D9E" w:rsidRPr="00CE6C29">
                <w:rPr>
                  <w:iCs/>
                  <w:color w:val="0000FF"/>
                  <w:u w:val="single"/>
                </w:rPr>
                <w:t>https://members.wto.org/crnattachments/2026/TBT/TPKM/26_01585_00_e.pdf</w:t>
              </w:r>
            </w:hyperlink>
          </w:p>
          <w:p w:rsidR="00842CB8" w:rsidRPr="00CE6C29" w:rsidRDefault="00C20D9E" w:rsidP="002F6A28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 TBT Enquiry Point, Email: </w:t>
            </w:r>
            <w:hyperlink r:id="rId12" w:history="1">
              <w:r w:rsidRPr="00CE6C29">
                <w:rPr>
                  <w:iCs/>
                  <w:color w:val="0000FF"/>
                  <w:u w:val="single"/>
                </w:rPr>
                <w:t>tbtenq@bsmi.gov.tw</w:t>
              </w:r>
            </w:hyperlink>
          </w:p>
        </w:tc>
      </w:tr>
      <w:tr w:rsidR="0039637E" w:rsidTr="00DB13FE">
        <w:tc>
          <w:tcPr>
            <w:tcW w:w="607" w:type="dxa"/>
          </w:tcPr>
          <w:p w:rsidR="00F85C99" w:rsidRPr="002F6A28" w:rsidRDefault="00C20D9E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6.</w:t>
            </w:r>
          </w:p>
        </w:tc>
        <w:tc>
          <w:tcPr>
            <w:tcW w:w="8373" w:type="dxa"/>
          </w:tcPr>
          <w:p w:rsidR="00F85C99" w:rsidRPr="002F6A28" w:rsidRDefault="00C20D9E" w:rsidP="002F6A28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="00FE448B" w:rsidRPr="00C379C8">
              <w:t xml:space="preserve"> The "Restrictions on the Importing of Mercury-Added Products" (hereinafter referred to as the "Announcement") have not been amended since they took effect on August 25, 2020. In addition to the mercury-added products that are already prohibited, this amendment to the Announcement prohibits the import of mercury-added products and electronic measuring instruments so as to strengthen domestic mercury management, and align with the United Nations Minamata Convention on Mercury.</w:t>
            </w:r>
          </w:p>
        </w:tc>
      </w:tr>
      <w:tr w:rsidR="0039637E" w:rsidTr="00DB13FE">
        <w:tc>
          <w:tcPr>
            <w:tcW w:w="607" w:type="dxa"/>
          </w:tcPr>
          <w:p w:rsidR="00F85C99" w:rsidRPr="002F6A28" w:rsidRDefault="00C20D9E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RDefault="00C20D9E" w:rsidP="002F6A28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="00EE3A11" w:rsidRPr="00C379C8">
              <w:t xml:space="preserve"> Protection of human health or safety; Protection of the environment</w:t>
            </w:r>
          </w:p>
        </w:tc>
      </w:tr>
      <w:tr w:rsidR="0039637E" w:rsidTr="00DB13FE">
        <w:tc>
          <w:tcPr>
            <w:tcW w:w="607" w:type="dxa"/>
          </w:tcPr>
          <w:p w:rsidR="00F85C99" w:rsidRPr="002F6A28" w:rsidRDefault="00C20D9E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RDefault="00C20D9E" w:rsidP="007F13E8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="00EE3A11" w:rsidRPr="002F6A28">
              <w:t xml:space="preserve"> </w:t>
            </w:r>
          </w:p>
          <w:p w:rsidR="00EE3A11" w:rsidRPr="002F6A28" w:rsidRDefault="00C20D9E" w:rsidP="007F13E8">
            <w:pPr>
              <w:spacing w:before="120" w:after="120"/>
            </w:pPr>
            <w:r w:rsidRPr="002F6A28">
              <w:rPr>
                <w:i/>
                <w:iCs/>
              </w:rPr>
              <w:t>Government Gazette</w:t>
            </w:r>
            <w:r w:rsidRPr="002F6A28">
              <w:t>, Vol. 032, No. 031, dated 13 February 2026</w:t>
            </w:r>
          </w:p>
          <w:p w:rsidR="00EE3A11" w:rsidRPr="002F6A28" w:rsidRDefault="008F4E97" w:rsidP="007F13E8">
            <w:pPr>
              <w:spacing w:before="120" w:after="120"/>
            </w:pPr>
            <w:hyperlink r:id="rId13" w:history="1">
              <w:r w:rsidR="00C20D9E" w:rsidRPr="002F6A28">
                <w:rPr>
                  <w:color w:val="0000FF"/>
                  <w:u w:val="single"/>
                </w:rPr>
                <w:t>(https://gazette.nat.gov.tw/egFront/e_detail.do?metaid=163708</w:t>
              </w:r>
            </w:hyperlink>
            <w:r w:rsidR="00863FAB" w:rsidRPr="002F6A28">
              <w:t>)</w:t>
            </w:r>
          </w:p>
          <w:p w:rsidR="00EE3A11" w:rsidRPr="002F6A28" w:rsidRDefault="00C20D9E" w:rsidP="007F13E8">
            <w:pPr>
              <w:spacing w:before="120" w:after="120"/>
            </w:pPr>
            <w:r w:rsidRPr="002F6A28">
              <w:t>Waste Disposal Act</w:t>
            </w:r>
          </w:p>
          <w:p w:rsidR="00EE3A11" w:rsidRPr="002F6A28" w:rsidRDefault="00C20D9E" w:rsidP="007F13E8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RDefault="008F4E97" w:rsidP="007F13E8">
            <w:pPr>
              <w:numPr>
                <w:ilvl w:val="0"/>
                <w:numId w:val="16"/>
              </w:numPr>
              <w:spacing w:before="120" w:after="120"/>
            </w:pPr>
            <w:hyperlink r:id="rId14" w:history="1">
              <w:r w:rsidR="00C20D9E" w:rsidRPr="002F6A28">
                <w:rPr>
                  <w:color w:val="0000FF"/>
                  <w:u w:val="single"/>
                </w:rPr>
                <w:t>G/TBT/N/TPKM/405</w:t>
              </w:r>
            </w:hyperlink>
          </w:p>
        </w:tc>
      </w:tr>
      <w:tr w:rsidR="0039637E" w:rsidTr="00DB13FE">
        <w:tc>
          <w:tcPr>
            <w:tcW w:w="607" w:type="dxa"/>
          </w:tcPr>
          <w:p w:rsidR="00EE3A11" w:rsidRPr="002F6A28" w:rsidRDefault="00C20D9E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RDefault="00C20D9E" w:rsidP="008953C4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RDefault="00C20D9E" w:rsidP="008953C4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:rsidR="0039637E" w:rsidTr="00DB13FE"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RDefault="00C20D9E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RDefault="00C20D9E" w:rsidP="000C3B6C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RDefault="00C20D9E" w:rsidP="002F6A28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="00EE3A11" w:rsidRPr="00C379C8">
              <w:t xml:space="preserve"> 19 May 2026</w:t>
            </w:r>
          </w:p>
          <w:p w:rsidR="000C3B6C" w:rsidRPr="00E3324D" w:rsidRDefault="00C20D9E" w:rsidP="000C3B6C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="00D75956" w:rsidRPr="006A4C49">
              <w:t xml:space="preserve"> </w:t>
            </w:r>
          </w:p>
          <w:p w:rsidR="000C3B6C" w:rsidRPr="002F6A28" w:rsidRDefault="00C20D9E" w:rsidP="000C3B6C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="00CE6C29" w:rsidRPr="00CE6C29">
              <w:t xml:space="preserve"> </w:t>
            </w:r>
          </w:p>
          <w:p w:rsidR="00CE6C29" w:rsidRPr="00CE6C29" w:rsidRDefault="00C20D9E" w:rsidP="000C3B6C">
            <w:r w:rsidRPr="00CE6C29">
              <w:t>Bureau of Standards, Metrology and Inspection</w:t>
            </w:r>
          </w:p>
          <w:p w:rsidR="00CE6C29" w:rsidRPr="00CE6C29" w:rsidRDefault="00C20D9E" w:rsidP="000C3B6C">
            <w:r w:rsidRPr="00CE6C29">
              <w:t>Ministry of Economic Affairs</w:t>
            </w:r>
          </w:p>
          <w:p w:rsidR="00CE6C29" w:rsidRPr="00CE6C29" w:rsidRDefault="00C20D9E" w:rsidP="000C3B6C">
            <w:r w:rsidRPr="00CE6C29">
              <w:t>No. 4, Sec. 1, Jinan Rd., Zhongzheng Dist.</w:t>
            </w:r>
          </w:p>
          <w:p w:rsidR="00CE6C29" w:rsidRPr="00CE6C29" w:rsidRDefault="00C20D9E" w:rsidP="000C3B6C">
            <w:r w:rsidRPr="00CE6C29">
              <w:t>Taipei City 100, Taiwan</w:t>
            </w:r>
          </w:p>
          <w:p w:rsidR="00CE6C29" w:rsidRPr="00CE6C29" w:rsidRDefault="00C20D9E" w:rsidP="000C3B6C">
            <w:r w:rsidRPr="00CE6C29">
              <w:t>Tel: +(886-2) 23431700#1566</w:t>
            </w:r>
          </w:p>
          <w:p w:rsidR="00CE6C29" w:rsidRPr="00CE6C29" w:rsidRDefault="00C20D9E" w:rsidP="000C3B6C">
            <w:r w:rsidRPr="00CE6C29">
              <w:t>Fax: +(886-2) 23431804</w:t>
            </w:r>
          </w:p>
          <w:p w:rsidR="00CE6C29" w:rsidRPr="00CE6C29" w:rsidRDefault="00C20D9E" w:rsidP="000C3B6C">
            <w:pPr>
              <w:spacing w:after="120"/>
            </w:pPr>
            <w:r w:rsidRPr="00CE6C29">
              <w:t xml:space="preserve">Email: </w:t>
            </w:r>
            <w:hyperlink r:id="rId15" w:history="1">
              <w:r w:rsidRPr="00CE6C29">
                <w:rPr>
                  <w:color w:val="0000FF"/>
                  <w:u w:val="single"/>
                </w:rPr>
                <w:t>tbtenq@bsmi.gov.tw</w:t>
              </w:r>
            </w:hyperlink>
          </w:p>
        </w:tc>
      </w:tr>
    </w:tbl>
    <w:p w:rsidR="00EE3A11" w:rsidRPr="002F6A28" w:rsidRDefault="00EE3A11" w:rsidP="00887259">
      <w:pPr>
        <w:jc w:val="center"/>
      </w:pPr>
    </w:p>
    <w:sectPr w:rsidR="00EE3A11" w:rsidRPr="002F6A28" w:rsidSect="00760D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E97" w:rsidRDefault="008F4E97">
      <w:r>
        <w:separator/>
      </w:r>
    </w:p>
  </w:endnote>
  <w:endnote w:type="continuationSeparator" w:id="0">
    <w:p w:rsidR="008F4E97" w:rsidRDefault="008F4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9F7" w:rsidRPr="002F6A28" w:rsidRDefault="00C20D9E" w:rsidP="009239F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9F7" w:rsidRPr="002F6A28" w:rsidRDefault="00C20D9E" w:rsidP="009239F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A11" w:rsidRPr="002F6A28" w:rsidRDefault="00C20D9E">
    <w:pPr>
      <w:pStyle w:val="Footer"/>
    </w:pPr>
    <w:r w:rsidRPr="002F6A28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E97" w:rsidRDefault="008F4E97">
      <w:r>
        <w:separator/>
      </w:r>
    </w:p>
  </w:footnote>
  <w:footnote w:type="continuationSeparator" w:id="0">
    <w:p w:rsidR="008F4E97" w:rsidRDefault="008F4E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9F7" w:rsidRPr="002F6A28" w:rsidRDefault="00C20D9E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RDefault="009239F7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RDefault="00C20D9E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:rsidR="009239F7" w:rsidRPr="002F6A28" w:rsidRDefault="009239F7" w:rsidP="009239F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9F7" w:rsidRPr="002F6A28" w:rsidRDefault="00C20D9E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" w:name="spsSymbolHeader"/>
    <w:r w:rsidRPr="002F6A28">
      <w:t>G/TBT/N/TPKM/588</w:t>
    </w:r>
    <w:bookmarkEnd w:id="1"/>
  </w:p>
  <w:p w:rsidR="009239F7" w:rsidRPr="002F6A28" w:rsidRDefault="009239F7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RDefault="00C20D9E" w:rsidP="009239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D34D4B">
      <w:rPr>
        <w:noProof/>
      </w:rPr>
      <w:t>2</w:t>
    </w:r>
    <w:r w:rsidRPr="002F6A28">
      <w:fldChar w:fldCharType="end"/>
    </w:r>
    <w:r w:rsidRPr="002F6A28">
      <w:t xml:space="preserve"> -</w:t>
    </w:r>
  </w:p>
  <w:p w:rsidR="009239F7" w:rsidRPr="002F6A28" w:rsidRDefault="009239F7" w:rsidP="009239F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39637E" w:rsidTr="008612A9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RDefault="00ED54E0" w:rsidP="00B801E9">
          <w:pPr>
            <w:rPr>
              <w:noProof/>
              <w:lang w:eastAsia="en-GB"/>
            </w:rPr>
          </w:pPr>
          <w:bookmarkStart w:id="2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RDefault="00ED54E0" w:rsidP="00B801E9">
          <w:pPr>
            <w:jc w:val="right"/>
            <w:rPr>
              <w:b/>
              <w:color w:val="FF0000"/>
              <w:szCs w:val="16"/>
            </w:rPr>
          </w:pPr>
        </w:p>
      </w:tc>
    </w:tr>
    <w:bookmarkEnd w:id="2"/>
    <w:tr w:rsidR="0039637E" w:rsidTr="008612A9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RDefault="00C20D9E" w:rsidP="00B801E9">
          <w:pPr>
            <w:jc w:val="left"/>
          </w:pPr>
          <w:r>
            <w:rPr>
              <w:noProof/>
              <w:lang w:val="en-US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RDefault="00ED54E0" w:rsidP="00B801E9">
          <w:pPr>
            <w:jc w:val="right"/>
            <w:rPr>
              <w:b/>
              <w:szCs w:val="16"/>
            </w:rPr>
          </w:pPr>
        </w:p>
      </w:tc>
    </w:tr>
    <w:tr w:rsidR="0039637E" w:rsidTr="008612A9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RDefault="00ED54E0" w:rsidP="00B801E9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RDefault="00C20D9E" w:rsidP="00B801E9">
          <w:pPr>
            <w:jc w:val="right"/>
            <w:rPr>
              <w:b/>
              <w:szCs w:val="16"/>
            </w:rPr>
          </w:pPr>
          <w:bookmarkStart w:id="3" w:name="bmkSymbols"/>
          <w:r w:rsidRPr="002F6A28">
            <w:rPr>
              <w:b/>
              <w:szCs w:val="16"/>
            </w:rPr>
            <w:t>G/TBT/N/TPKM/588</w:t>
          </w:r>
          <w:bookmarkEnd w:id="3"/>
        </w:p>
      </w:tc>
    </w:tr>
    <w:tr w:rsidR="0039637E" w:rsidTr="008612A9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RDefault="00ED54E0" w:rsidP="00B801E9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RDefault="00C20D9E" w:rsidP="00B801E9">
          <w:pPr>
            <w:jc w:val="right"/>
            <w:rPr>
              <w:szCs w:val="16"/>
            </w:rPr>
          </w:pPr>
          <w:bookmarkStart w:id="4" w:name="spsDateDistribution"/>
          <w:bookmarkStart w:id="5" w:name="bmkDate"/>
          <w:r w:rsidRPr="009239F7">
            <w:rPr>
              <w:szCs w:val="16"/>
            </w:rPr>
            <w:t>20 March 2026</w:t>
          </w:r>
          <w:bookmarkEnd w:id="4"/>
          <w:bookmarkEnd w:id="5"/>
        </w:p>
      </w:tc>
    </w:tr>
    <w:tr w:rsidR="0039637E" w:rsidTr="008612A9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RDefault="00C20D9E" w:rsidP="0097650D">
          <w:pPr>
            <w:jc w:val="left"/>
            <w:rPr>
              <w:b/>
            </w:rPr>
          </w:pPr>
          <w:bookmarkStart w:id="6" w:name="bmkSerial"/>
          <w:r>
            <w:rPr>
              <w:rFonts w:eastAsia="Verdana" w:cs="Verdana"/>
              <w:color w:val="FF0000"/>
            </w:rPr>
            <w:t>(26-2245)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RDefault="00C20D9E" w:rsidP="00B801E9">
          <w:pPr>
            <w:jc w:val="right"/>
            <w:rPr>
              <w:szCs w:val="16"/>
            </w:rPr>
          </w:pPr>
          <w:bookmarkStart w:id="7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D34D4B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D34D4B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7"/>
        </w:p>
      </w:tc>
    </w:tr>
    <w:tr w:rsidR="0039637E" w:rsidTr="008612A9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RDefault="00C20D9E" w:rsidP="00B801E9">
          <w:pPr>
            <w:jc w:val="left"/>
            <w:rPr>
              <w:sz w:val="14"/>
              <w:szCs w:val="16"/>
            </w:rPr>
          </w:pPr>
          <w:bookmarkStart w:id="8" w:name="bmkCommittee"/>
          <w:r w:rsidRPr="002F6A28">
            <w:rPr>
              <w:b/>
            </w:rPr>
            <w:t>Committee on Technical Barriers to Trade</w:t>
          </w:r>
          <w:bookmarkEnd w:id="8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RDefault="00C20D9E" w:rsidP="00B801E9">
          <w:pPr>
            <w:jc w:val="right"/>
            <w:rPr>
              <w:bCs/>
              <w:szCs w:val="18"/>
            </w:rPr>
          </w:pPr>
          <w:bookmarkStart w:id="9" w:name="bmkLanguage"/>
          <w:r w:rsidRPr="002F6A28">
            <w:rPr>
              <w:bCs/>
              <w:szCs w:val="18"/>
            </w:rPr>
            <w:t>Original:</w:t>
          </w:r>
          <w:r w:rsidR="00F263FA" w:rsidRPr="002F6A28">
            <w:rPr>
              <w:bCs/>
              <w:szCs w:val="18"/>
            </w:rPr>
            <w:t xml:space="preserve"> </w:t>
          </w:r>
          <w:bookmarkStart w:id="10" w:name="spsOriginalLanguage"/>
          <w:r w:rsidR="00F263FA" w:rsidRPr="002F6A28">
            <w:rPr>
              <w:bCs/>
              <w:szCs w:val="18"/>
            </w:rPr>
            <w:t>English</w:t>
          </w:r>
          <w:bookmarkEnd w:id="9"/>
          <w:bookmarkEnd w:id="10"/>
        </w:p>
      </w:tc>
    </w:tr>
  </w:tbl>
  <w:p w:rsidR="00ED54E0" w:rsidRPr="002F6A28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 w:tplc="EBF2346C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62909FE0" w:tentative="1">
      <w:start w:val="1"/>
      <w:numFmt w:val="lowerLetter"/>
      <w:lvlText w:val="%2."/>
      <w:lvlJc w:val="left"/>
      <w:pPr>
        <w:ind w:left="1080" w:hanging="360"/>
      </w:pPr>
    </w:lvl>
    <w:lvl w:ilvl="2" w:tplc="D9FAC6E4" w:tentative="1">
      <w:start w:val="1"/>
      <w:numFmt w:val="lowerRoman"/>
      <w:lvlText w:val="%3."/>
      <w:lvlJc w:val="right"/>
      <w:pPr>
        <w:ind w:left="1800" w:hanging="180"/>
      </w:pPr>
    </w:lvl>
    <w:lvl w:ilvl="3" w:tplc="A202AC04" w:tentative="1">
      <w:start w:val="1"/>
      <w:numFmt w:val="decimal"/>
      <w:lvlText w:val="%4."/>
      <w:lvlJc w:val="left"/>
      <w:pPr>
        <w:ind w:left="2520" w:hanging="360"/>
      </w:pPr>
    </w:lvl>
    <w:lvl w:ilvl="4" w:tplc="9FBA3156" w:tentative="1">
      <w:start w:val="1"/>
      <w:numFmt w:val="lowerLetter"/>
      <w:lvlText w:val="%5."/>
      <w:lvlJc w:val="left"/>
      <w:pPr>
        <w:ind w:left="3240" w:hanging="360"/>
      </w:pPr>
    </w:lvl>
    <w:lvl w:ilvl="5" w:tplc="32A8AFAC" w:tentative="1">
      <w:start w:val="1"/>
      <w:numFmt w:val="lowerRoman"/>
      <w:lvlText w:val="%6."/>
      <w:lvlJc w:val="right"/>
      <w:pPr>
        <w:ind w:left="3960" w:hanging="180"/>
      </w:pPr>
    </w:lvl>
    <w:lvl w:ilvl="6" w:tplc="F45ABE08" w:tentative="1">
      <w:start w:val="1"/>
      <w:numFmt w:val="decimal"/>
      <w:lvlText w:val="%7."/>
      <w:lvlJc w:val="left"/>
      <w:pPr>
        <w:ind w:left="4680" w:hanging="360"/>
      </w:pPr>
    </w:lvl>
    <w:lvl w:ilvl="7" w:tplc="C77218A4" w:tentative="1">
      <w:start w:val="1"/>
      <w:numFmt w:val="lowerLetter"/>
      <w:lvlText w:val="%8."/>
      <w:lvlJc w:val="left"/>
      <w:pPr>
        <w:ind w:left="5400" w:hanging="360"/>
      </w:pPr>
    </w:lvl>
    <w:lvl w:ilvl="8" w:tplc="C826DAA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 w:tplc="2F10E5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F812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50C8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48E05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CB234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860E6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B6282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2F057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496ED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/>
  <w:attachedTemplate r:id="rId1"/>
  <w:stylePaneSortMethod w:val="000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57D6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80D69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37E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636E8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0C67"/>
    <w:rsid w:val="00832EE1"/>
    <w:rsid w:val="008378EF"/>
    <w:rsid w:val="00840C2B"/>
    <w:rsid w:val="00842CB8"/>
    <w:rsid w:val="00854F43"/>
    <w:rsid w:val="00860955"/>
    <w:rsid w:val="008612A9"/>
    <w:rsid w:val="00863177"/>
    <w:rsid w:val="00863DE9"/>
    <w:rsid w:val="00863FAB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8F4E97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0D9E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34D4B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semiHidden="0" w:uiPriority="2" w:unhideWhenUsed="0" w:qFormat="1"/>
    <w:lsdException w:name="heading 4" w:semiHidden="0" w:uiPriority="2" w:unhideWhenUsed="0" w:qFormat="1"/>
    <w:lsdException w:name="heading 5" w:semiHidden="0" w:uiPriority="2" w:unhideWhenUsed="0" w:qFormat="1"/>
    <w:lsdException w:name="heading 6" w:semiHidden="0" w:uiPriority="2" w:unhideWhenUsed="0" w:qFormat="1"/>
    <w:lsdException w:name="heading 7" w:semiHidden="0" w:uiPriority="2" w:unhideWhenUsed="0"/>
    <w:lsdException w:name="heading 8" w:semiHidden="0" w:uiPriority="2" w:unhideWhenUsed="0"/>
    <w:lsdException w:name="heading 9" w:semiHidden="0" w:uiPriority="2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5"/>
    <w:lsdException w:name="header" w:uiPriority="3"/>
    <w:lsdException w:name="footer" w:uiPriority="3"/>
    <w:lsdException w:name="caption" w:uiPriority="6" w:qFormat="1"/>
    <w:lsdException w:name="table of figures" w:uiPriority="39"/>
    <w:lsdException w:name="footnote reference" w:uiPriority="5"/>
    <w:lsdException w:name="endnote reference" w:uiPriority="49"/>
    <w:lsdException w:name="endnote text" w:uiPriority="49"/>
    <w:lsdException w:name="table of authorities" w:uiPriority="39"/>
    <w:lsdException w:name="toa heading" w:uiPriority="39"/>
    <w:lsdException w:name="List Bullet" w:semiHidden="0" w:uiPriority="1" w:unhideWhenUsed="0"/>
    <w:lsdException w:name="List Number" w:uiPriority="49"/>
    <w:lsdException w:name="List Bullet 2" w:semiHidden="0" w:uiPriority="1" w:unhideWhenUsed="0"/>
    <w:lsdException w:name="List Bullet 3" w:semiHidden="0" w:uiPriority="1" w:unhideWhenUsed="0"/>
    <w:lsdException w:name="List Bullet 4" w:semiHidden="0" w:uiPriority="1" w:unhideWhenUsed="0"/>
    <w:lsdException w:name="List Bullet 5" w:semiHidden="0" w:uiPriority="1" w:unhideWhenUsed="0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semiHidden="0" w:uiPriority="5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6" w:unhideWhenUsed="0" w:qFormat="1"/>
    <w:lsdException w:name="Body Text 2" w:semiHidden="0" w:uiPriority="1" w:unhideWhenUsed="0" w:qFormat="1"/>
    <w:lsdException w:name="Body Text 3" w:semiHidden="0" w:uiPriority="1" w:unhideWhenUsed="0" w:qFormat="1"/>
    <w:lsdException w:name="Hyperlink" w:uiPriority="9"/>
    <w:lsdException w:name="FollowedHyperlink" w:uiPriority="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59" w:unhideWhenUsed="0" w:qFormat="1"/>
    <w:lsdException w:name="Quote" w:semiHidden="0" w:uiPriority="59" w:unhideWhenUsed="0" w:qFormat="1"/>
    <w:lsdException w:name="Intense Quote" w:semiHidden="0" w:uiPriority="5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unhideWhenUsed="0" w:qFormat="1"/>
    <w:lsdException w:name="Book Title" w:unhideWhenUsed="0" w:qFormat="1"/>
    <w:lsdException w:name="Bibliography" w:uiPriority="49"/>
    <w:lsdException w:name="TOC Heading" w:uiPriority="39" w:qFormat="1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Ind w:w="0" w:type="dxa"/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Ind w:w="0" w:type="dxa"/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semiHidden="0" w:uiPriority="2" w:unhideWhenUsed="0" w:qFormat="1"/>
    <w:lsdException w:name="heading 4" w:semiHidden="0" w:uiPriority="2" w:unhideWhenUsed="0" w:qFormat="1"/>
    <w:lsdException w:name="heading 5" w:semiHidden="0" w:uiPriority="2" w:unhideWhenUsed="0" w:qFormat="1"/>
    <w:lsdException w:name="heading 6" w:semiHidden="0" w:uiPriority="2" w:unhideWhenUsed="0" w:qFormat="1"/>
    <w:lsdException w:name="heading 7" w:semiHidden="0" w:uiPriority="2" w:unhideWhenUsed="0"/>
    <w:lsdException w:name="heading 8" w:semiHidden="0" w:uiPriority="2" w:unhideWhenUsed="0"/>
    <w:lsdException w:name="heading 9" w:semiHidden="0" w:uiPriority="2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5"/>
    <w:lsdException w:name="header" w:uiPriority="3"/>
    <w:lsdException w:name="footer" w:uiPriority="3"/>
    <w:lsdException w:name="caption" w:uiPriority="6" w:qFormat="1"/>
    <w:lsdException w:name="table of figures" w:uiPriority="39"/>
    <w:lsdException w:name="footnote reference" w:uiPriority="5"/>
    <w:lsdException w:name="endnote reference" w:uiPriority="49"/>
    <w:lsdException w:name="endnote text" w:uiPriority="49"/>
    <w:lsdException w:name="table of authorities" w:uiPriority="39"/>
    <w:lsdException w:name="toa heading" w:uiPriority="39"/>
    <w:lsdException w:name="List Bullet" w:semiHidden="0" w:uiPriority="1" w:unhideWhenUsed="0"/>
    <w:lsdException w:name="List Number" w:uiPriority="49"/>
    <w:lsdException w:name="List Bullet 2" w:semiHidden="0" w:uiPriority="1" w:unhideWhenUsed="0"/>
    <w:lsdException w:name="List Bullet 3" w:semiHidden="0" w:uiPriority="1" w:unhideWhenUsed="0"/>
    <w:lsdException w:name="List Bullet 4" w:semiHidden="0" w:uiPriority="1" w:unhideWhenUsed="0"/>
    <w:lsdException w:name="List Bullet 5" w:semiHidden="0" w:uiPriority="1" w:unhideWhenUsed="0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semiHidden="0" w:uiPriority="5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6" w:unhideWhenUsed="0" w:qFormat="1"/>
    <w:lsdException w:name="Body Text 2" w:semiHidden="0" w:uiPriority="1" w:unhideWhenUsed="0" w:qFormat="1"/>
    <w:lsdException w:name="Body Text 3" w:semiHidden="0" w:uiPriority="1" w:unhideWhenUsed="0" w:qFormat="1"/>
    <w:lsdException w:name="Hyperlink" w:uiPriority="9"/>
    <w:lsdException w:name="FollowedHyperlink" w:uiPriority="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59" w:unhideWhenUsed="0" w:qFormat="1"/>
    <w:lsdException w:name="Quote" w:semiHidden="0" w:uiPriority="59" w:unhideWhenUsed="0" w:qFormat="1"/>
    <w:lsdException w:name="Intense Quote" w:semiHidden="0" w:uiPriority="5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unhideWhenUsed="0" w:qFormat="1"/>
    <w:lsdException w:name="Book Title" w:unhideWhenUsed="0" w:qFormat="1"/>
    <w:lsdException w:name="Bibliography" w:uiPriority="49"/>
    <w:lsdException w:name="TOC Heading" w:uiPriority="39" w:qFormat="1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Ind w:w="0" w:type="dxa"/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Ind w:w="0" w:type="dxa"/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2F6A2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2F6A2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F6A2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2F6A2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F6A2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F6A2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azette.nat.gov.tw/egFront/e_detail.do?metaid=163708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mailto:tbtenq@bsmi.gov.tw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embers.wto.org/crnattachments/2026/TBT/TPKM/26_01585_00_e.pdf" TargetMode="External"/><Relationship Id="rId5" Type="http://schemas.microsoft.com/office/2007/relationships/stylesWithEffects" Target="stylesWithEffects.xml"/><Relationship Id="rId15" Type="http://schemas.openxmlformats.org/officeDocument/2006/relationships/hyperlink" Target="mailto:tbtenq@bsmi.gov.tw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embers.wto.org/crnattachments/2026/TBT/TPKM/26_01585_00_x.pdf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eping.wto.org/en/Search/Index?viewData=G/TBT/N/TPKM/405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EF842-3441-4185-BCF9-3D49A12EF97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9965CE72-DC21-4A34-A764-22898B2CE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Admin</cp:lastModifiedBy>
  <cp:revision>2</cp:revision>
  <dcterms:created xsi:type="dcterms:W3CDTF">2026-04-01T13:27:00Z</dcterms:created>
  <dcterms:modified xsi:type="dcterms:W3CDTF">2026-04-01T13:27:00Z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